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w:t>
      </w:r>
      <w:r w:rsidR="00502AAA">
        <w:rPr>
          <w:b/>
          <w:noProof/>
          <w:sz w:val="24"/>
        </w:rPr>
        <w:t>2</w:t>
      </w:r>
      <w:r>
        <w:rPr>
          <w:b/>
          <w:i/>
          <w:noProof/>
          <w:sz w:val="28"/>
        </w:rPr>
        <w:tab/>
      </w:r>
      <w:r w:rsidR="00332AA0">
        <w:rPr>
          <w:b/>
          <w:i/>
          <w:noProof/>
          <w:sz w:val="28"/>
        </w:rPr>
        <w:t>R4-</w:t>
      </w:r>
      <w:r w:rsidR="00766C09">
        <w:rPr>
          <w:b/>
          <w:i/>
          <w:noProof/>
          <w:sz w:val="28"/>
        </w:rPr>
        <w:t>19</w:t>
      </w:r>
      <w:r w:rsidR="00F75E70">
        <w:rPr>
          <w:b/>
          <w:i/>
          <w:noProof/>
          <w:sz w:val="28"/>
        </w:rPr>
        <w:t>09031</w:t>
      </w:r>
      <w:bookmarkStart w:id="0" w:name="_GoBack"/>
      <w:bookmarkEnd w:id="0"/>
    </w:p>
    <w:p w:rsidR="001E41F3" w:rsidRDefault="00502AAA" w:rsidP="005E2C44">
      <w:pPr>
        <w:pStyle w:val="CRCoverPage"/>
        <w:outlineLvl w:val="0"/>
        <w:rPr>
          <w:b/>
          <w:noProof/>
          <w:sz w:val="24"/>
        </w:rPr>
      </w:pPr>
      <w:r>
        <w:rPr>
          <w:b/>
          <w:noProof/>
          <w:sz w:val="24"/>
        </w:rPr>
        <w:t>Ljubljana</w:t>
      </w:r>
      <w:r w:rsidR="001E41F3">
        <w:rPr>
          <w:b/>
          <w:noProof/>
          <w:sz w:val="24"/>
        </w:rPr>
        <w:t xml:space="preserve">, </w:t>
      </w:r>
      <w:r>
        <w:rPr>
          <w:b/>
          <w:noProof/>
          <w:sz w:val="24"/>
        </w:rPr>
        <w:t>Slovenia</w:t>
      </w:r>
      <w:r w:rsidR="001E41F3">
        <w:rPr>
          <w:b/>
          <w:noProof/>
          <w:sz w:val="24"/>
        </w:rPr>
        <w:t xml:space="preserve">, </w:t>
      </w:r>
      <w:r>
        <w:rPr>
          <w:b/>
          <w:noProof/>
          <w:sz w:val="24"/>
        </w:rPr>
        <w:t>26</w:t>
      </w:r>
      <w:r w:rsidR="00332AA0" w:rsidRPr="00332AA0">
        <w:rPr>
          <w:b/>
          <w:noProof/>
          <w:sz w:val="24"/>
          <w:vertAlign w:val="superscript"/>
        </w:rPr>
        <w:t>th</w:t>
      </w:r>
      <w:r w:rsidR="00332AA0">
        <w:rPr>
          <w:b/>
          <w:noProof/>
          <w:sz w:val="24"/>
        </w:rPr>
        <w:t xml:space="preserve"> –</w:t>
      </w:r>
      <w:r w:rsidR="00547111">
        <w:rPr>
          <w:b/>
          <w:noProof/>
          <w:sz w:val="24"/>
        </w:rPr>
        <w:t xml:space="preserve"> </w:t>
      </w:r>
      <w:r>
        <w:rPr>
          <w:b/>
          <w:noProof/>
          <w:sz w:val="24"/>
        </w:rPr>
        <w:t>30</w:t>
      </w:r>
      <w:r w:rsidR="00B477D2" w:rsidRPr="00B477D2">
        <w:rPr>
          <w:b/>
          <w:noProof/>
          <w:sz w:val="24"/>
          <w:vertAlign w:val="superscript"/>
        </w:rPr>
        <w:t>th</w:t>
      </w:r>
      <w:r w:rsidR="00B477D2">
        <w:rPr>
          <w:b/>
          <w:noProof/>
          <w:sz w:val="24"/>
        </w:rPr>
        <w:t xml:space="preserve"> </w:t>
      </w:r>
      <w:r>
        <w:rPr>
          <w:b/>
          <w:noProof/>
          <w:sz w:val="24"/>
        </w:rPr>
        <w:t>Aug</w:t>
      </w:r>
      <w:r w:rsidR="00332AA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02AAA" w:rsidP="00251E04">
            <w:pPr>
              <w:pStyle w:val="CRCoverPage"/>
              <w:spacing w:after="0"/>
              <w:jc w:val="center"/>
              <w:rPr>
                <w:noProof/>
                <w:sz w:val="28"/>
                <w:lang w:eastAsia="zh-CN"/>
              </w:rPr>
            </w:pPr>
            <w:r>
              <w:rPr>
                <w:rFonts w:hint="eastAsia"/>
                <w:noProof/>
                <w:sz w:val="28"/>
                <w:lang w:eastAsia="zh-CN"/>
              </w:rPr>
              <w:t>1</w:t>
            </w:r>
            <w:r w:rsidR="00251E04">
              <w:rPr>
                <w:noProof/>
                <w:sz w:val="28"/>
                <w:lang w:eastAsia="zh-CN"/>
              </w:rPr>
              <w:t>5</w:t>
            </w:r>
            <w:r>
              <w:rPr>
                <w:rFonts w:hint="eastAsia"/>
                <w:noProof/>
                <w:sz w:val="28"/>
                <w:lang w:eastAsia="zh-CN"/>
              </w:rPr>
              <w:t>.</w:t>
            </w:r>
            <w:r w:rsidR="00251E04">
              <w:rPr>
                <w:noProof/>
                <w:sz w:val="28"/>
                <w:lang w:eastAsia="zh-CN"/>
              </w:rPr>
              <w:t>6</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31D3D" w:rsidP="00FD08ED">
            <w:pPr>
              <w:pStyle w:val="CRCoverPage"/>
              <w:spacing w:after="0"/>
              <w:ind w:left="100"/>
              <w:rPr>
                <w:noProof/>
              </w:rPr>
            </w:pPr>
            <w:r w:rsidRPr="00C31D3D">
              <w:t>draftCR on</w:t>
            </w:r>
            <w:r w:rsidR="00D60A6B">
              <w:t xml:space="preserve"> </w:t>
            </w:r>
            <w:r w:rsidRPr="00C31D3D">
              <w:t xml:space="preserve">BWP switch </w:t>
            </w:r>
            <w:r w:rsidR="00FD08ED">
              <w:t xml:space="preserve">delay </w:t>
            </w:r>
            <w:r w:rsidRPr="00C31D3D">
              <w:t>(section 8.6)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pPr>
              <w:pStyle w:val="CRCoverPage"/>
              <w:spacing w:after="0"/>
              <w:ind w:left="100"/>
              <w:rPr>
                <w:noProof/>
              </w:rPr>
            </w:pPr>
            <w:r w:rsidRPr="003A5C06">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C31D3D">
            <w:pPr>
              <w:pStyle w:val="CRCoverPage"/>
              <w:spacing w:after="0"/>
              <w:ind w:left="100"/>
              <w:rPr>
                <w:noProof/>
              </w:rPr>
            </w:pPr>
            <w:r>
              <w:rPr>
                <w:noProof/>
              </w:rPr>
              <w:t>2019-0</w:t>
            </w:r>
            <w:r w:rsidR="00DC18D2">
              <w:rPr>
                <w:noProof/>
              </w:rPr>
              <w:t>7</w:t>
            </w:r>
            <w:r w:rsidR="003A5C06">
              <w:rPr>
                <w:noProof/>
              </w:rPr>
              <w:t>-</w:t>
            </w:r>
            <w:r w:rsidR="00DC18D2">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w:t>
            </w:r>
            <w:r w:rsidR="00251E04">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51E04">
            <w:pPr>
              <w:pStyle w:val="CRCoverPage"/>
              <w:spacing w:after="0"/>
              <w:ind w:left="100"/>
              <w:rPr>
                <w:noProof/>
                <w:lang w:eastAsia="zh-CN"/>
              </w:rPr>
            </w:pPr>
            <w:r>
              <w:rPr>
                <w:noProof/>
                <w:lang w:eastAsia="zh-CN"/>
              </w:rPr>
              <w:t>Scheduling restriction of DCI based BWP switch needs further clarification for especially type 1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0D91" w:rsidRDefault="003B009B" w:rsidP="00251E04">
            <w:pPr>
              <w:pStyle w:val="CRCoverPage"/>
              <w:spacing w:after="0"/>
              <w:ind w:leftChars="49" w:left="99" w:hanging="1"/>
              <w:rPr>
                <w:noProof/>
                <w:lang w:eastAsia="zh-CN"/>
              </w:rPr>
            </w:pPr>
            <w:r>
              <w:rPr>
                <w:noProof/>
                <w:lang w:eastAsia="zh-CN"/>
              </w:rPr>
              <w:t>Clarify that the scheduling restriction is after the DCI symbols when UE does DCI based BWP switch.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7E3B3D">
            <w:pPr>
              <w:pStyle w:val="CRCoverPage"/>
              <w:spacing w:after="0"/>
              <w:ind w:left="100"/>
              <w:rPr>
                <w:noProof/>
                <w:lang w:eastAsia="zh-CN"/>
              </w:rPr>
            </w:pPr>
            <w:r>
              <w:rPr>
                <w:rFonts w:hint="eastAsia"/>
                <w:noProof/>
                <w:lang w:eastAsia="zh-CN"/>
              </w:rPr>
              <w:t xml:space="preserve">The requirements are not </w:t>
            </w:r>
            <w:r w:rsidR="007E3B3D">
              <w:rPr>
                <w:noProof/>
                <w:lang w:eastAsia="zh-CN"/>
              </w:rPr>
              <w:t>correct</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1D3D">
            <w:pPr>
              <w:pStyle w:val="CRCoverPage"/>
              <w:spacing w:after="0"/>
              <w:ind w:left="100"/>
              <w:rPr>
                <w:noProof/>
                <w:lang w:eastAsia="zh-CN"/>
              </w:rPr>
            </w:pPr>
            <w:r>
              <w:rPr>
                <w:rFonts w:hint="eastAsia"/>
                <w:noProof/>
                <w:lang w:eastAsia="zh-CN"/>
              </w:rPr>
              <w:t>8</w:t>
            </w:r>
            <w:r>
              <w:rPr>
                <w:noProof/>
                <w:lang w:eastAsia="zh-CN"/>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251E04" w:rsidRDefault="00251E04" w:rsidP="00251E04">
      <w:pPr>
        <w:pStyle w:val="2"/>
        <w:rPr>
          <w:lang w:eastAsia="zh-CN"/>
        </w:rPr>
      </w:pPr>
      <w:r>
        <w:t>8.6</w:t>
      </w:r>
      <w:r>
        <w:tab/>
        <w:t>Active BWP switch delay</w:t>
      </w:r>
    </w:p>
    <w:p w:rsidR="00251E04" w:rsidRDefault="00251E04" w:rsidP="00251E04">
      <w:pPr>
        <w:pStyle w:val="3"/>
        <w:rPr>
          <w:lang w:val="en-US" w:eastAsia="zh-CN"/>
        </w:rPr>
      </w:pPr>
      <w:bookmarkStart w:id="3" w:name="_Toc535475992"/>
      <w:r>
        <w:rPr>
          <w:lang w:val="en-US" w:eastAsia="zh-CN"/>
        </w:rPr>
        <w:t>8.6.1</w:t>
      </w:r>
      <w:r>
        <w:rPr>
          <w:lang w:val="en-US" w:eastAsia="zh-CN"/>
        </w:rPr>
        <w:tab/>
        <w:t>Introduction</w:t>
      </w:r>
      <w:bookmarkEnd w:id="3"/>
    </w:p>
    <w:p w:rsidR="00251E04" w:rsidRDefault="00251E04" w:rsidP="00251E04">
      <w:pPr>
        <w:rPr>
          <w:lang w:eastAsia="zh-CN"/>
        </w:rPr>
      </w:pPr>
      <w:r>
        <w:rPr>
          <w:lang w:eastAsia="zh-CN"/>
        </w:rPr>
        <w:t>The requirements in this section apply for a UE configured with more than one BWP</w:t>
      </w:r>
      <w:r>
        <w:rPr>
          <w:lang w:val="en-US"/>
        </w:rPr>
        <w:t xml:space="preserve"> on PCell or any activated SCell in standalone NR or NE-DC, PCell, PSCell or any activated SCell in MCG or SCG in NR-DC, or PSCell or any activated SCell in SCG in EN-DC</w:t>
      </w:r>
      <w:r>
        <w:rPr>
          <w:lang w:eastAsia="zh-CN"/>
        </w:rPr>
        <w:t>. UE shall complete the switch of active DL and/or UL BWP within the delay defined in this section.</w:t>
      </w:r>
    </w:p>
    <w:p w:rsidR="00251E04" w:rsidRDefault="00251E04" w:rsidP="00251E04">
      <w:pPr>
        <w:pStyle w:val="3"/>
        <w:rPr>
          <w:lang w:val="en-US" w:eastAsia="zh-CN"/>
        </w:rPr>
      </w:pPr>
      <w:bookmarkStart w:id="4" w:name="_Toc535475993"/>
      <w:r>
        <w:rPr>
          <w:lang w:val="en-US" w:eastAsia="zh-CN"/>
        </w:rPr>
        <w:t>8.6.2</w:t>
      </w:r>
      <w:r>
        <w:rPr>
          <w:lang w:val="en-US" w:eastAsia="zh-CN"/>
        </w:rPr>
        <w:tab/>
        <w:t>DCI and timer based BWP switch delay</w:t>
      </w:r>
      <w:bookmarkEnd w:id="4"/>
    </w:p>
    <w:p w:rsidR="00251E04" w:rsidRDefault="00251E04" w:rsidP="00251E04">
      <w:pPr>
        <w:rPr>
          <w:lang w:val="en-US" w:eastAsia="zh-CN"/>
        </w:rPr>
      </w:pPr>
      <w:r>
        <w:rPr>
          <w:lang w:val="en-US" w:eastAsia="zh-CN"/>
        </w:rPr>
        <w:t xml:space="preserve">For DCI-based BWP switch, </w:t>
      </w:r>
      <w:r>
        <w:t xml:space="preserve">after the UE receives BWP switching request at DL slot n </w:t>
      </w:r>
      <w:r>
        <w:rPr>
          <w:lang w:val="en-US" w:eastAsia="zh-CN"/>
        </w:rPr>
        <w:t>on a serving cell</w:t>
      </w:r>
      <w:r>
        <w:t xml:space="preserve">, UE shall be </w:t>
      </w:r>
      <w:r>
        <w:rPr>
          <w:lang w:val="en-US" w:eastAsia="zh-CN"/>
        </w:rPr>
        <w:t>able to receive PDSCH (for DL active BWP switch) or transmit PUSCH (for UL active BWP switch) on the new BWP on the serving cell</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the beginning of DL slot n+</w:t>
      </w:r>
      <w:r>
        <w:rPr>
          <w:lang w:eastAsia="zh-CN"/>
        </w:rPr>
        <w:t xml:space="preserve"> T</w:t>
      </w:r>
      <w:r>
        <w:rPr>
          <w:vertAlign w:val="subscript"/>
          <w:lang w:eastAsia="zh-CN"/>
        </w:rPr>
        <w:t>BWPswitchDelay</w:t>
      </w:r>
      <w:r>
        <w:t>.</w:t>
      </w:r>
    </w:p>
    <w:p w:rsidR="00251E04" w:rsidRDefault="00251E04" w:rsidP="00251E04">
      <w:pPr>
        <w:rPr>
          <w:lang w:val="en-US" w:eastAsia="zh-CN"/>
        </w:rPr>
      </w:pPr>
      <w:r>
        <w:rPr>
          <w:lang w:val="en-US" w:eastAsia="zh-CN"/>
        </w:rPr>
        <w:t xml:space="preserve">The UE is not required to transmit UL signals or receive DL signals </w:t>
      </w:r>
      <w:ins w:id="5" w:author="Huawei" w:date="2019-08-13T11:14:00Z">
        <w:r>
          <w:rPr>
            <w:lang w:val="en-US" w:eastAsia="zh-CN"/>
          </w:rPr>
          <w:t xml:space="preserve">except for the DCI triggering the BWP switch </w:t>
        </w:r>
      </w:ins>
      <w:r>
        <w:rPr>
          <w:lang w:val="en-US" w:eastAsia="zh-CN"/>
        </w:rPr>
        <w:t xml:space="preserve">during time duration </w:t>
      </w:r>
      <w:r>
        <w:rPr>
          <w:lang w:eastAsia="zh-CN"/>
        </w:rPr>
        <w:t>T</w:t>
      </w:r>
      <w:r>
        <w:rPr>
          <w:vertAlign w:val="subscript"/>
          <w:lang w:eastAsia="zh-CN"/>
        </w:rPr>
        <w:t>BWPswitchDelay</w:t>
      </w:r>
      <w:r>
        <w:rPr>
          <w:lang w:val="en-US" w:eastAsia="zh-CN"/>
        </w:rPr>
        <w:t xml:space="preserve"> on the cell where DCI-based BWP switch occurs. </w:t>
      </w:r>
      <w:r>
        <w:t>The UE is not required to follow the requirements defined in this section when performing a DCI-based BWP switch between the BWPs in disjoint channel bandwidths or in partially overlapping channel bandwidths.</w:t>
      </w:r>
    </w:p>
    <w:p w:rsidR="00251E04" w:rsidRDefault="00251E04" w:rsidP="00251E04">
      <w:pPr>
        <w:rPr>
          <w:lang w:val="en-US" w:eastAsia="zh-CN"/>
        </w:rPr>
      </w:pPr>
      <w:r>
        <w:rPr>
          <w:lang w:val="en-US" w:eastAsia="zh-CN"/>
        </w:rPr>
        <w:t xml:space="preserve">For timer-based BWP switch, the UE shall start BWP switch at DL slot n, where n is the beginning of a DL subframe (FR1) or DL half-subframe (FR2)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the beginning of DL </w:t>
      </w:r>
      <w:r>
        <w:rPr>
          <w:lang w:val="en-US" w:eastAsia="zh-CN"/>
        </w:rPr>
        <w:t>slot n+</w:t>
      </w:r>
      <w:r>
        <w:rPr>
          <w:lang w:eastAsia="zh-CN"/>
        </w:rPr>
        <w:t xml:space="preserve"> T</w:t>
      </w:r>
      <w:r>
        <w:rPr>
          <w:vertAlign w:val="subscript"/>
          <w:lang w:eastAsia="zh-CN"/>
        </w:rPr>
        <w:t>BWPswitchDelay</w:t>
      </w:r>
      <w:r>
        <w:rPr>
          <w:lang w:val="en-US" w:eastAsia="zh-CN"/>
        </w:rPr>
        <w:t>.</w:t>
      </w:r>
    </w:p>
    <w:p w:rsidR="00251E04" w:rsidRDefault="00251E04" w:rsidP="00251E04">
      <w:pPr>
        <w:rPr>
          <w:lang w:val="en-US" w:eastAsia="zh-CN"/>
        </w:rPr>
      </w:pPr>
      <w:r>
        <w:rPr>
          <w:lang w:val="en-US" w:eastAsia="zh-CN"/>
        </w:rPr>
        <w:t xml:space="preserve">The UE is not required to transmit UL signals or receive DL signals after </w:t>
      </w:r>
      <w:r>
        <w:rPr>
          <w:i/>
        </w:rPr>
        <w:t>bwp-InactivityTimer</w:t>
      </w:r>
      <w:r>
        <w:rPr>
          <w:lang w:val="en-US" w:eastAsia="zh-CN"/>
        </w:rPr>
        <w:t xml:space="preserve"> [2] expires on the cell where timer-based BWP switch occurs.</w:t>
      </w:r>
    </w:p>
    <w:p w:rsidR="00251E04" w:rsidRDefault="00251E04" w:rsidP="00251E04">
      <w:pPr>
        <w:rPr>
          <w:lang w:val="en-US" w:eastAsia="zh-CN"/>
        </w:rPr>
      </w:pPr>
      <w:r>
        <w:rPr>
          <w:lang w:val="en-US" w:eastAsia="zh-CN"/>
        </w:rPr>
        <w:t>Depending on UE capability</w:t>
      </w:r>
      <w:r>
        <w:rPr>
          <w:lang w:val="en-US"/>
        </w:rPr>
        <w:t xml:space="preserve"> </w:t>
      </w:r>
      <w:r>
        <w:rPr>
          <w:i/>
        </w:rPr>
        <w:t>bwp-SwitchingDelay</w:t>
      </w:r>
      <w:r>
        <w:rPr>
          <w:lang w:val="en-US" w:eastAsia="zh-CN"/>
        </w:rPr>
        <w:t xml:space="preserve"> [2], UE shall finish BWP switch within the time duration </w:t>
      </w:r>
      <w:r>
        <w:rPr>
          <w:lang w:eastAsia="zh-CN"/>
        </w:rPr>
        <w:t>T</w:t>
      </w:r>
      <w:r>
        <w:rPr>
          <w:vertAlign w:val="subscript"/>
          <w:lang w:eastAsia="zh-CN"/>
        </w:rPr>
        <w:t>BWPswitchDelay</w:t>
      </w:r>
      <w:r>
        <w:rPr>
          <w:lang w:val="en-US" w:eastAsia="zh-CN"/>
        </w:rPr>
        <w:t xml:space="preserve"> defined in Table 8.6.2-1.</w:t>
      </w:r>
    </w:p>
    <w:p w:rsidR="00251E04" w:rsidRDefault="00251E04" w:rsidP="00251E04">
      <w:pPr>
        <w:pStyle w:val="TH"/>
      </w:pPr>
      <w: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251E04" w:rsidTr="00251E04">
        <w:trPr>
          <w:trHeight w:val="305"/>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rsidR="00251E04" w:rsidRDefault="00251E04">
            <w:pPr>
              <w:pStyle w:val="TAH"/>
            </w:pPr>
            <w:r>
              <w:rPr>
                <w:noProof/>
                <w:lang w:val="en-US" w:eastAsia="zh-CN"/>
              </w:rPr>
              <w:drawing>
                <wp:inline distT="0" distB="0" distL="0" distR="0">
                  <wp:extent cx="146050" cy="1651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5100"/>
                          </a:xfrm>
                          <a:prstGeom prst="rect">
                            <a:avLst/>
                          </a:prstGeom>
                          <a:noFill/>
                          <a:ln>
                            <a:noFill/>
                          </a:ln>
                        </pic:spPr>
                      </pic:pic>
                    </a:graphicData>
                  </a:graphic>
                </wp:inline>
              </w:drawing>
            </w:r>
          </w:p>
        </w:tc>
        <w:tc>
          <w:tcPr>
            <w:tcW w:w="992" w:type="dxa"/>
            <w:vMerge w:val="restart"/>
            <w:tcBorders>
              <w:top w:val="single" w:sz="4" w:space="0" w:color="auto"/>
              <w:left w:val="single" w:sz="4" w:space="0" w:color="auto"/>
              <w:bottom w:val="single" w:sz="4" w:space="0" w:color="auto"/>
              <w:right w:val="single" w:sz="4" w:space="0" w:color="auto"/>
            </w:tcBorders>
            <w:hideMark/>
          </w:tcPr>
          <w:p w:rsidR="00251E04" w:rsidRDefault="00251E04">
            <w:pPr>
              <w:pStyle w:val="TAH"/>
            </w:pPr>
            <w:r>
              <w:t>NR Slot length (ms)</w:t>
            </w:r>
          </w:p>
        </w:tc>
        <w:tc>
          <w:tcPr>
            <w:tcW w:w="3938" w:type="dxa"/>
            <w:gridSpan w:val="2"/>
            <w:tcBorders>
              <w:top w:val="single" w:sz="4" w:space="0" w:color="auto"/>
              <w:left w:val="single" w:sz="4" w:space="0" w:color="auto"/>
              <w:bottom w:val="single" w:sz="4" w:space="0" w:color="auto"/>
              <w:right w:val="single" w:sz="4" w:space="0" w:color="auto"/>
            </w:tcBorders>
            <w:hideMark/>
          </w:tcPr>
          <w:p w:rsidR="00251E04" w:rsidRDefault="00251E04">
            <w:pPr>
              <w:pStyle w:val="TAH"/>
              <w:rPr>
                <w:lang w:eastAsia="zh-CN"/>
              </w:rPr>
            </w:pPr>
            <w:r>
              <w:rPr>
                <w:lang w:eastAsia="zh-CN"/>
              </w:rPr>
              <w:t>BWP switch delay T</w:t>
            </w:r>
            <w:r>
              <w:rPr>
                <w:vertAlign w:val="subscript"/>
                <w:lang w:eastAsia="zh-CN"/>
              </w:rPr>
              <w:t>BWPswitchDelay</w:t>
            </w:r>
            <w:r>
              <w:rPr>
                <w:lang w:eastAsia="zh-CN"/>
              </w:rPr>
              <w:t xml:space="preserve"> (slots)</w:t>
            </w:r>
          </w:p>
        </w:tc>
      </w:tr>
      <w:tr w:rsidR="00251E04" w:rsidTr="00251E0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E04" w:rsidRDefault="00251E0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E04" w:rsidRDefault="00251E04">
            <w:pPr>
              <w:spacing w:after="0"/>
              <w:rPr>
                <w:rFonts w:ascii="Arial" w:hAnsi="Arial"/>
                <w:b/>
                <w:sz w:val="18"/>
              </w:rPr>
            </w:pPr>
          </w:p>
        </w:tc>
        <w:tc>
          <w:tcPr>
            <w:tcW w:w="1969" w:type="dxa"/>
            <w:tcBorders>
              <w:top w:val="single" w:sz="4" w:space="0" w:color="auto"/>
              <w:left w:val="single" w:sz="4" w:space="0" w:color="auto"/>
              <w:bottom w:val="single" w:sz="4" w:space="0" w:color="auto"/>
              <w:right w:val="single" w:sz="4" w:space="0" w:color="auto"/>
            </w:tcBorders>
            <w:hideMark/>
          </w:tcPr>
          <w:p w:rsidR="00251E04" w:rsidRDefault="00251E04">
            <w:pPr>
              <w:pStyle w:val="TAH"/>
              <w:rPr>
                <w:vertAlign w:val="superscript"/>
                <w:lang w:eastAsia="zh-CN"/>
              </w:rPr>
            </w:pPr>
            <w:r>
              <w:rPr>
                <w:lang w:eastAsia="zh-CN"/>
              </w:rPr>
              <w:t>Type 1</w:t>
            </w:r>
            <w:r>
              <w:rPr>
                <w:vertAlign w:val="superscript"/>
                <w:lang w:eastAsia="zh-CN"/>
              </w:rPr>
              <w:t>Note 1</w:t>
            </w:r>
          </w:p>
        </w:tc>
        <w:tc>
          <w:tcPr>
            <w:tcW w:w="1969" w:type="dxa"/>
            <w:tcBorders>
              <w:top w:val="single" w:sz="4" w:space="0" w:color="auto"/>
              <w:left w:val="single" w:sz="4" w:space="0" w:color="auto"/>
              <w:bottom w:val="single" w:sz="4" w:space="0" w:color="auto"/>
              <w:right w:val="single" w:sz="4" w:space="0" w:color="auto"/>
            </w:tcBorders>
            <w:hideMark/>
          </w:tcPr>
          <w:p w:rsidR="00251E04" w:rsidRDefault="00251E04">
            <w:pPr>
              <w:pStyle w:val="TAH"/>
              <w:rPr>
                <w:vertAlign w:val="superscript"/>
                <w:lang w:eastAsia="zh-CN"/>
              </w:rPr>
            </w:pPr>
            <w:r>
              <w:rPr>
                <w:lang w:eastAsia="zh-CN"/>
              </w:rPr>
              <w:t>Type 2</w:t>
            </w:r>
            <w:r>
              <w:rPr>
                <w:vertAlign w:val="superscript"/>
                <w:lang w:eastAsia="zh-CN"/>
              </w:rPr>
              <w:t>Note 1</w:t>
            </w:r>
          </w:p>
        </w:tc>
      </w:tr>
      <w:tr w:rsidR="00251E04" w:rsidTr="00251E04">
        <w:trPr>
          <w:jc w:val="center"/>
        </w:trPr>
        <w:tc>
          <w:tcPr>
            <w:tcW w:w="649" w:type="dxa"/>
            <w:tcBorders>
              <w:top w:val="single" w:sz="4" w:space="0" w:color="auto"/>
              <w:left w:val="single" w:sz="4" w:space="0" w:color="auto"/>
              <w:bottom w:val="single" w:sz="4" w:space="0" w:color="auto"/>
              <w:right w:val="single" w:sz="4" w:space="0" w:color="auto"/>
            </w:tcBorders>
            <w:hideMark/>
          </w:tcPr>
          <w:p w:rsidR="00251E04" w:rsidRDefault="00251E04">
            <w:pPr>
              <w:pStyle w:val="TAC"/>
            </w:pPr>
            <w:r>
              <w:t>0</w:t>
            </w:r>
          </w:p>
        </w:tc>
        <w:tc>
          <w:tcPr>
            <w:tcW w:w="992" w:type="dxa"/>
            <w:tcBorders>
              <w:top w:val="single" w:sz="4" w:space="0" w:color="auto"/>
              <w:left w:val="single" w:sz="4" w:space="0" w:color="auto"/>
              <w:bottom w:val="single" w:sz="4" w:space="0" w:color="auto"/>
              <w:right w:val="single" w:sz="4" w:space="0" w:color="auto"/>
            </w:tcBorders>
            <w:hideMark/>
          </w:tcPr>
          <w:p w:rsidR="00251E04" w:rsidRDefault="00251E04">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rsidR="00251E04" w:rsidRDefault="00251E04">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rsidR="00251E04" w:rsidRDefault="00251E04">
            <w:pPr>
              <w:pStyle w:val="TAC"/>
            </w:pPr>
            <w:r>
              <w:t>3</w:t>
            </w:r>
          </w:p>
        </w:tc>
      </w:tr>
      <w:tr w:rsidR="00251E04" w:rsidTr="00251E04">
        <w:trPr>
          <w:jc w:val="center"/>
        </w:trPr>
        <w:tc>
          <w:tcPr>
            <w:tcW w:w="649" w:type="dxa"/>
            <w:tcBorders>
              <w:top w:val="single" w:sz="4" w:space="0" w:color="auto"/>
              <w:left w:val="single" w:sz="4" w:space="0" w:color="auto"/>
              <w:bottom w:val="single" w:sz="4" w:space="0" w:color="auto"/>
              <w:right w:val="single" w:sz="4" w:space="0" w:color="auto"/>
            </w:tcBorders>
            <w:hideMark/>
          </w:tcPr>
          <w:p w:rsidR="00251E04" w:rsidRDefault="00251E04">
            <w:pPr>
              <w:pStyle w:val="TAC"/>
            </w:pPr>
            <w:r>
              <w:t>1</w:t>
            </w:r>
          </w:p>
        </w:tc>
        <w:tc>
          <w:tcPr>
            <w:tcW w:w="992" w:type="dxa"/>
            <w:tcBorders>
              <w:top w:val="single" w:sz="4" w:space="0" w:color="auto"/>
              <w:left w:val="single" w:sz="4" w:space="0" w:color="auto"/>
              <w:bottom w:val="single" w:sz="4" w:space="0" w:color="auto"/>
              <w:right w:val="single" w:sz="4" w:space="0" w:color="auto"/>
            </w:tcBorders>
            <w:hideMark/>
          </w:tcPr>
          <w:p w:rsidR="00251E04" w:rsidRDefault="00251E04">
            <w:pPr>
              <w:pStyle w:val="TAC"/>
            </w:pPr>
            <w:r>
              <w:t>0.5</w:t>
            </w:r>
          </w:p>
        </w:tc>
        <w:tc>
          <w:tcPr>
            <w:tcW w:w="1969" w:type="dxa"/>
            <w:tcBorders>
              <w:top w:val="single" w:sz="4" w:space="0" w:color="auto"/>
              <w:left w:val="single" w:sz="4" w:space="0" w:color="auto"/>
              <w:bottom w:val="single" w:sz="4" w:space="0" w:color="auto"/>
              <w:right w:val="single" w:sz="4" w:space="0" w:color="auto"/>
            </w:tcBorders>
            <w:hideMark/>
          </w:tcPr>
          <w:p w:rsidR="00251E04" w:rsidRDefault="00251E04">
            <w:pPr>
              <w:pStyle w:val="TAC"/>
            </w:pPr>
            <w:r>
              <w:t>2</w:t>
            </w:r>
          </w:p>
        </w:tc>
        <w:tc>
          <w:tcPr>
            <w:tcW w:w="1969" w:type="dxa"/>
            <w:tcBorders>
              <w:top w:val="single" w:sz="4" w:space="0" w:color="auto"/>
              <w:left w:val="single" w:sz="4" w:space="0" w:color="auto"/>
              <w:bottom w:val="single" w:sz="4" w:space="0" w:color="auto"/>
              <w:right w:val="single" w:sz="4" w:space="0" w:color="auto"/>
            </w:tcBorders>
            <w:hideMark/>
          </w:tcPr>
          <w:p w:rsidR="00251E04" w:rsidRDefault="00251E04">
            <w:pPr>
              <w:pStyle w:val="TAC"/>
            </w:pPr>
            <w:r>
              <w:t>5</w:t>
            </w:r>
          </w:p>
        </w:tc>
      </w:tr>
      <w:tr w:rsidR="00251E04" w:rsidTr="00251E04">
        <w:trPr>
          <w:jc w:val="center"/>
        </w:trPr>
        <w:tc>
          <w:tcPr>
            <w:tcW w:w="649" w:type="dxa"/>
            <w:tcBorders>
              <w:top w:val="single" w:sz="4" w:space="0" w:color="auto"/>
              <w:left w:val="single" w:sz="4" w:space="0" w:color="auto"/>
              <w:bottom w:val="single" w:sz="4" w:space="0" w:color="auto"/>
              <w:right w:val="single" w:sz="4" w:space="0" w:color="auto"/>
            </w:tcBorders>
            <w:hideMark/>
          </w:tcPr>
          <w:p w:rsidR="00251E04" w:rsidRDefault="00251E04">
            <w:pPr>
              <w:pStyle w:val="TAC"/>
            </w:pPr>
            <w:r>
              <w:t>2</w:t>
            </w:r>
          </w:p>
        </w:tc>
        <w:tc>
          <w:tcPr>
            <w:tcW w:w="992" w:type="dxa"/>
            <w:tcBorders>
              <w:top w:val="single" w:sz="4" w:space="0" w:color="auto"/>
              <w:left w:val="single" w:sz="4" w:space="0" w:color="auto"/>
              <w:bottom w:val="single" w:sz="4" w:space="0" w:color="auto"/>
              <w:right w:val="single" w:sz="4" w:space="0" w:color="auto"/>
            </w:tcBorders>
            <w:hideMark/>
          </w:tcPr>
          <w:p w:rsidR="00251E04" w:rsidRDefault="00251E04">
            <w:pPr>
              <w:pStyle w:val="TAC"/>
            </w:pPr>
            <w:r>
              <w:t>0.25</w:t>
            </w:r>
          </w:p>
        </w:tc>
        <w:tc>
          <w:tcPr>
            <w:tcW w:w="1969" w:type="dxa"/>
            <w:tcBorders>
              <w:top w:val="single" w:sz="4" w:space="0" w:color="auto"/>
              <w:left w:val="single" w:sz="4" w:space="0" w:color="auto"/>
              <w:bottom w:val="single" w:sz="4" w:space="0" w:color="auto"/>
              <w:right w:val="single" w:sz="4" w:space="0" w:color="auto"/>
            </w:tcBorders>
            <w:hideMark/>
          </w:tcPr>
          <w:p w:rsidR="00251E04" w:rsidRDefault="00251E04">
            <w:pPr>
              <w:pStyle w:val="TAC"/>
            </w:pPr>
            <w:r>
              <w:t>3</w:t>
            </w:r>
          </w:p>
        </w:tc>
        <w:tc>
          <w:tcPr>
            <w:tcW w:w="1969" w:type="dxa"/>
            <w:tcBorders>
              <w:top w:val="single" w:sz="4" w:space="0" w:color="auto"/>
              <w:left w:val="single" w:sz="4" w:space="0" w:color="auto"/>
              <w:bottom w:val="single" w:sz="4" w:space="0" w:color="auto"/>
              <w:right w:val="single" w:sz="4" w:space="0" w:color="auto"/>
            </w:tcBorders>
            <w:hideMark/>
          </w:tcPr>
          <w:p w:rsidR="00251E04" w:rsidRDefault="00251E04">
            <w:pPr>
              <w:pStyle w:val="TAC"/>
            </w:pPr>
            <w:r>
              <w:t>9</w:t>
            </w:r>
          </w:p>
        </w:tc>
      </w:tr>
      <w:tr w:rsidR="00251E04" w:rsidTr="00251E04">
        <w:trPr>
          <w:jc w:val="center"/>
        </w:trPr>
        <w:tc>
          <w:tcPr>
            <w:tcW w:w="649" w:type="dxa"/>
            <w:tcBorders>
              <w:top w:val="single" w:sz="4" w:space="0" w:color="auto"/>
              <w:left w:val="single" w:sz="4" w:space="0" w:color="auto"/>
              <w:bottom w:val="single" w:sz="4" w:space="0" w:color="auto"/>
              <w:right w:val="single" w:sz="4" w:space="0" w:color="auto"/>
            </w:tcBorders>
            <w:hideMark/>
          </w:tcPr>
          <w:p w:rsidR="00251E04" w:rsidRDefault="00251E04">
            <w:pPr>
              <w:pStyle w:val="TAC"/>
            </w:pPr>
            <w:r>
              <w:t>3</w:t>
            </w:r>
          </w:p>
        </w:tc>
        <w:tc>
          <w:tcPr>
            <w:tcW w:w="992" w:type="dxa"/>
            <w:tcBorders>
              <w:top w:val="single" w:sz="4" w:space="0" w:color="auto"/>
              <w:left w:val="single" w:sz="4" w:space="0" w:color="auto"/>
              <w:bottom w:val="single" w:sz="4" w:space="0" w:color="auto"/>
              <w:right w:val="single" w:sz="4" w:space="0" w:color="auto"/>
            </w:tcBorders>
            <w:hideMark/>
          </w:tcPr>
          <w:p w:rsidR="00251E04" w:rsidRDefault="00251E04">
            <w:pPr>
              <w:pStyle w:val="TAC"/>
            </w:pPr>
            <w:r>
              <w:t>0.125</w:t>
            </w:r>
          </w:p>
        </w:tc>
        <w:tc>
          <w:tcPr>
            <w:tcW w:w="1969" w:type="dxa"/>
            <w:tcBorders>
              <w:top w:val="single" w:sz="4" w:space="0" w:color="auto"/>
              <w:left w:val="single" w:sz="4" w:space="0" w:color="auto"/>
              <w:bottom w:val="single" w:sz="4" w:space="0" w:color="auto"/>
              <w:right w:val="single" w:sz="4" w:space="0" w:color="auto"/>
            </w:tcBorders>
            <w:hideMark/>
          </w:tcPr>
          <w:p w:rsidR="00251E04" w:rsidRDefault="00251E04">
            <w:pPr>
              <w:pStyle w:val="TAC"/>
            </w:pPr>
            <w:r>
              <w:t>6</w:t>
            </w:r>
          </w:p>
        </w:tc>
        <w:tc>
          <w:tcPr>
            <w:tcW w:w="1969" w:type="dxa"/>
            <w:tcBorders>
              <w:top w:val="single" w:sz="4" w:space="0" w:color="auto"/>
              <w:left w:val="single" w:sz="4" w:space="0" w:color="auto"/>
              <w:bottom w:val="single" w:sz="4" w:space="0" w:color="auto"/>
              <w:right w:val="single" w:sz="4" w:space="0" w:color="auto"/>
            </w:tcBorders>
            <w:hideMark/>
          </w:tcPr>
          <w:p w:rsidR="00251E04" w:rsidRDefault="00251E04">
            <w:pPr>
              <w:pStyle w:val="TAC"/>
            </w:pPr>
            <w:r>
              <w:t>18</w:t>
            </w:r>
          </w:p>
        </w:tc>
      </w:tr>
      <w:tr w:rsidR="00251E04" w:rsidTr="00251E04">
        <w:trPr>
          <w:jc w:val="center"/>
        </w:trPr>
        <w:tc>
          <w:tcPr>
            <w:tcW w:w="5579" w:type="dxa"/>
            <w:gridSpan w:val="4"/>
            <w:tcBorders>
              <w:top w:val="single" w:sz="4" w:space="0" w:color="auto"/>
              <w:left w:val="single" w:sz="4" w:space="0" w:color="auto"/>
              <w:bottom w:val="single" w:sz="4" w:space="0" w:color="auto"/>
              <w:right w:val="single" w:sz="4" w:space="0" w:color="auto"/>
            </w:tcBorders>
            <w:hideMark/>
          </w:tcPr>
          <w:p w:rsidR="00251E04" w:rsidRDefault="00251E04">
            <w:pPr>
              <w:pStyle w:val="TAN"/>
            </w:pPr>
            <w:r>
              <w:t>Note 1:</w:t>
            </w:r>
            <w:r>
              <w:tab/>
              <w:t>Depends on UE capability.</w:t>
            </w:r>
          </w:p>
          <w:p w:rsidR="00251E04" w:rsidRDefault="00251E04">
            <w:pPr>
              <w:pStyle w:val="TAN"/>
            </w:pPr>
            <w:r>
              <w:t>Note 2:</w:t>
            </w:r>
            <w:r>
              <w:tab/>
              <w:t>If the BWP switch involves changing of SCS, the BWP switch delay is determined by the larger one between the SCS before BWP switch and the SCS after BWP switch.</w:t>
            </w:r>
          </w:p>
        </w:tc>
      </w:tr>
    </w:tbl>
    <w:p w:rsidR="00251E04" w:rsidRDefault="00251E04" w:rsidP="00251E04"/>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3E7" w:rsidRDefault="00E133E7">
      <w:r>
        <w:separator/>
      </w:r>
    </w:p>
  </w:endnote>
  <w:endnote w:type="continuationSeparator" w:id="0">
    <w:p w:rsidR="00E133E7" w:rsidRDefault="00E13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3E7" w:rsidRDefault="00E133E7">
      <w:r>
        <w:separator/>
      </w:r>
    </w:p>
  </w:footnote>
  <w:footnote w:type="continuationSeparator" w:id="0">
    <w:p w:rsidR="00E133E7" w:rsidRDefault="00E133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532C"/>
    <w:rsid w:val="000C6598"/>
    <w:rsid w:val="0010641B"/>
    <w:rsid w:val="00142EF8"/>
    <w:rsid w:val="00145D43"/>
    <w:rsid w:val="00153E0E"/>
    <w:rsid w:val="00192C46"/>
    <w:rsid w:val="001A08B3"/>
    <w:rsid w:val="001A7B60"/>
    <w:rsid w:val="001B52F0"/>
    <w:rsid w:val="001B7A65"/>
    <w:rsid w:val="001E41F3"/>
    <w:rsid w:val="00251E04"/>
    <w:rsid w:val="0026004D"/>
    <w:rsid w:val="002640DD"/>
    <w:rsid w:val="00275D12"/>
    <w:rsid w:val="00282ECF"/>
    <w:rsid w:val="00284FEB"/>
    <w:rsid w:val="00285380"/>
    <w:rsid w:val="002860C4"/>
    <w:rsid w:val="002B5741"/>
    <w:rsid w:val="00305409"/>
    <w:rsid w:val="00332AA0"/>
    <w:rsid w:val="003534AA"/>
    <w:rsid w:val="003609EF"/>
    <w:rsid w:val="0036231A"/>
    <w:rsid w:val="00374DD4"/>
    <w:rsid w:val="003A01B7"/>
    <w:rsid w:val="003A5C06"/>
    <w:rsid w:val="003B009B"/>
    <w:rsid w:val="003D312B"/>
    <w:rsid w:val="003E1A36"/>
    <w:rsid w:val="00410371"/>
    <w:rsid w:val="004242F1"/>
    <w:rsid w:val="0045225B"/>
    <w:rsid w:val="00465875"/>
    <w:rsid w:val="004B75B7"/>
    <w:rsid w:val="004D07F1"/>
    <w:rsid w:val="00502AAA"/>
    <w:rsid w:val="0051580D"/>
    <w:rsid w:val="00547111"/>
    <w:rsid w:val="00592D74"/>
    <w:rsid w:val="005A5337"/>
    <w:rsid w:val="005E009B"/>
    <w:rsid w:val="005E2C44"/>
    <w:rsid w:val="00621188"/>
    <w:rsid w:val="00621D47"/>
    <w:rsid w:val="00622DC4"/>
    <w:rsid w:val="006257ED"/>
    <w:rsid w:val="00646695"/>
    <w:rsid w:val="00695509"/>
    <w:rsid w:val="00695808"/>
    <w:rsid w:val="006B46FB"/>
    <w:rsid w:val="006B4A70"/>
    <w:rsid w:val="006D64CC"/>
    <w:rsid w:val="006E21FB"/>
    <w:rsid w:val="007073EF"/>
    <w:rsid w:val="007319B0"/>
    <w:rsid w:val="00747A9F"/>
    <w:rsid w:val="00766C09"/>
    <w:rsid w:val="007809F9"/>
    <w:rsid w:val="00792342"/>
    <w:rsid w:val="00795C22"/>
    <w:rsid w:val="007977A8"/>
    <w:rsid w:val="007B512A"/>
    <w:rsid w:val="007C2097"/>
    <w:rsid w:val="007D6A07"/>
    <w:rsid w:val="007E3B3D"/>
    <w:rsid w:val="007F04B9"/>
    <w:rsid w:val="007F7259"/>
    <w:rsid w:val="008040A8"/>
    <w:rsid w:val="008279FA"/>
    <w:rsid w:val="00860178"/>
    <w:rsid w:val="008612C1"/>
    <w:rsid w:val="008626E7"/>
    <w:rsid w:val="00870EE7"/>
    <w:rsid w:val="00880D91"/>
    <w:rsid w:val="00895892"/>
    <w:rsid w:val="008A2B1B"/>
    <w:rsid w:val="008A45A6"/>
    <w:rsid w:val="008B4EA9"/>
    <w:rsid w:val="008E470B"/>
    <w:rsid w:val="008F686C"/>
    <w:rsid w:val="009148DE"/>
    <w:rsid w:val="00954D33"/>
    <w:rsid w:val="009777D9"/>
    <w:rsid w:val="009837AB"/>
    <w:rsid w:val="00991B88"/>
    <w:rsid w:val="009A5753"/>
    <w:rsid w:val="009A579D"/>
    <w:rsid w:val="009E3297"/>
    <w:rsid w:val="009F734F"/>
    <w:rsid w:val="00A246B6"/>
    <w:rsid w:val="00A47E70"/>
    <w:rsid w:val="00A50CF0"/>
    <w:rsid w:val="00A7671C"/>
    <w:rsid w:val="00AA2CBC"/>
    <w:rsid w:val="00AB740E"/>
    <w:rsid w:val="00AC5820"/>
    <w:rsid w:val="00AD1CD8"/>
    <w:rsid w:val="00B16C18"/>
    <w:rsid w:val="00B258BB"/>
    <w:rsid w:val="00B477D2"/>
    <w:rsid w:val="00B67B97"/>
    <w:rsid w:val="00B968C8"/>
    <w:rsid w:val="00BA3EC5"/>
    <w:rsid w:val="00BA51D9"/>
    <w:rsid w:val="00BB5DFC"/>
    <w:rsid w:val="00BD279D"/>
    <w:rsid w:val="00BD6BB8"/>
    <w:rsid w:val="00BD752A"/>
    <w:rsid w:val="00C31D3D"/>
    <w:rsid w:val="00C54F1F"/>
    <w:rsid w:val="00C66BA2"/>
    <w:rsid w:val="00C81F1F"/>
    <w:rsid w:val="00C95985"/>
    <w:rsid w:val="00CC5026"/>
    <w:rsid w:val="00CC68D0"/>
    <w:rsid w:val="00CD05AC"/>
    <w:rsid w:val="00CD08FA"/>
    <w:rsid w:val="00CD34B5"/>
    <w:rsid w:val="00D03F9A"/>
    <w:rsid w:val="00D06D51"/>
    <w:rsid w:val="00D24991"/>
    <w:rsid w:val="00D50255"/>
    <w:rsid w:val="00D54252"/>
    <w:rsid w:val="00D60A6B"/>
    <w:rsid w:val="00DC01AA"/>
    <w:rsid w:val="00DC18D2"/>
    <w:rsid w:val="00DE34CF"/>
    <w:rsid w:val="00E133E7"/>
    <w:rsid w:val="00E13F3D"/>
    <w:rsid w:val="00E20395"/>
    <w:rsid w:val="00E34898"/>
    <w:rsid w:val="00E5032B"/>
    <w:rsid w:val="00E702B2"/>
    <w:rsid w:val="00EB09B7"/>
    <w:rsid w:val="00ED2E7D"/>
    <w:rsid w:val="00EE7AA1"/>
    <w:rsid w:val="00EE7D7C"/>
    <w:rsid w:val="00EF1D4A"/>
    <w:rsid w:val="00F25D98"/>
    <w:rsid w:val="00F300FB"/>
    <w:rsid w:val="00F604FF"/>
    <w:rsid w:val="00F75E70"/>
    <w:rsid w:val="00F90D5C"/>
    <w:rsid w:val="00F91864"/>
    <w:rsid w:val="00FB6386"/>
    <w:rsid w:val="00FD08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qFormat/>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locked/>
    <w:rsid w:val="00621D4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89028">
      <w:bodyDiv w:val="1"/>
      <w:marLeft w:val="0"/>
      <w:marRight w:val="0"/>
      <w:marTop w:val="0"/>
      <w:marBottom w:val="0"/>
      <w:divBdr>
        <w:top w:val="none" w:sz="0" w:space="0" w:color="auto"/>
        <w:left w:val="none" w:sz="0" w:space="0" w:color="auto"/>
        <w:bottom w:val="none" w:sz="0" w:space="0" w:color="auto"/>
        <w:right w:val="none" w:sz="0" w:space="0" w:color="auto"/>
      </w:divBdr>
    </w:div>
    <w:div w:id="398291404">
      <w:bodyDiv w:val="1"/>
      <w:marLeft w:val="0"/>
      <w:marRight w:val="0"/>
      <w:marTop w:val="0"/>
      <w:marBottom w:val="0"/>
      <w:divBdr>
        <w:top w:val="none" w:sz="0" w:space="0" w:color="auto"/>
        <w:left w:val="none" w:sz="0" w:space="0" w:color="auto"/>
        <w:bottom w:val="none" w:sz="0" w:space="0" w:color="auto"/>
        <w:right w:val="none" w:sz="0" w:space="0" w:color="auto"/>
      </w:divBdr>
    </w:div>
    <w:div w:id="210044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C38D6-4A15-43E5-8D3E-31EBC7CB4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1371</TotalTime>
  <Pages>2</Pages>
  <Words>625</Words>
  <Characters>3568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2015-08-19T09:34:00Z</dcterms:created>
  <dcterms:modified xsi:type="dcterms:W3CDTF">2019-08-16T10:29:00Z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(3)OFOtIfbeNhm+rdt8xQ9e0tXKjr4XXl+n0fsFZ/9sHOadkjZ65511S/aR9w66UKQs+mtjvN0x
LOKVkS4WVrSd3WvbuE11TrVovIcty581GSy+Wf0b86Ia9rp90A1fnX+yOxOKgDlKxlkE0Ptv
jssdvNKXB6fE967qEc3k410o4jmtsMc6li321ZzqiOoEj2/Z00L5Y9AbB2aFzveYjy/2o8yA
35b7blGjs6Uh16ZOPL</vt:lpwstr>
  </property>
  <property fmtid="{D5CDD505-2E9C-101B-9397-08002B2CF9AE}" pid="22" name="_2015_ms_pID_7253431">
    <vt:lpwstr>CE3+E/IUSeqwnzKTv9Qcwe4LH6yAdhuK2Y3dBvE2zXGdOdPdNP5YT5
9B44rWwIKjOKiww3zX5o9AwE5+AOFtTDyLabY7oMrc0WfqYhHALHRUgFYquveh4lGDkhkpwI
UpF+d8U5+wMDzjQu6b/pJJMt+4fBM2tTQBohxxfueZ79qDaWCLTsTRr0l/1VdZsAQoWNyKSq
qmkGfHN5nWfP1HvrIcpOFlZhaEGLa0HogMRs</vt:lpwstr>
  </property>
  <property fmtid="{D5CDD505-2E9C-101B-9397-08002B2CF9AE}" pid="23" name="_2015_ms_pID_7253432">
    <vt:lpwstr>XE/o1Yjs4ySRgVX8nYdML3A=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1556623544</vt:lpwstr>
  </property>
</Properties>
</file>